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9D88" w14:textId="46A21A5C" w:rsidR="00D07F59" w:rsidRPr="0072223A" w:rsidRDefault="00D07F59" w:rsidP="00FB6CEA">
      <w:pPr>
        <w:tabs>
          <w:tab w:val="left" w:pos="1276"/>
        </w:tabs>
        <w:spacing w:after="240"/>
        <w:jc w:val="center"/>
        <w:rPr>
          <w:rFonts w:cs="Arial"/>
          <w:b/>
        </w:rPr>
      </w:pPr>
      <w:r w:rsidRPr="0072223A">
        <w:rPr>
          <w:rFonts w:cs="Arial"/>
          <w:b/>
        </w:rPr>
        <w:t>ESCLARECIMENTO Nº</w:t>
      </w:r>
      <w:r w:rsidR="00803348" w:rsidRPr="0072223A">
        <w:rPr>
          <w:rFonts w:cs="Arial"/>
          <w:b/>
        </w:rPr>
        <w:t xml:space="preserve"> </w:t>
      </w:r>
      <w:r w:rsidR="000A364B" w:rsidRPr="0072223A">
        <w:rPr>
          <w:rFonts w:cs="Arial"/>
          <w:b/>
          <w:bCs/>
        </w:rPr>
        <w:t>0</w:t>
      </w:r>
      <w:r w:rsidR="008975A1">
        <w:rPr>
          <w:rFonts w:cs="Arial"/>
          <w:b/>
          <w:bCs/>
        </w:rPr>
        <w:t>4</w:t>
      </w:r>
    </w:p>
    <w:p w14:paraId="1D2BD22E" w14:textId="44DDD73B" w:rsidR="00AA4E3F" w:rsidRDefault="00FB6CEA" w:rsidP="00803348">
      <w:pPr>
        <w:tabs>
          <w:tab w:val="left" w:pos="1134"/>
          <w:tab w:val="left" w:pos="7938"/>
        </w:tabs>
        <w:spacing w:before="120" w:after="240"/>
        <w:ind w:left="1134" w:hanging="1134"/>
        <w:rPr>
          <w:rFonts w:cs="Arial"/>
          <w:bCs/>
          <w:szCs w:val="22"/>
        </w:rPr>
      </w:pPr>
      <w:bookmarkStart w:id="0" w:name="_Hlk108799374"/>
      <w:r w:rsidRPr="0072223A">
        <w:rPr>
          <w:rFonts w:cs="Arial"/>
          <w:bCs/>
          <w:szCs w:val="22"/>
        </w:rPr>
        <w:t>Processo:</w:t>
      </w:r>
      <w:r w:rsidR="00917CFC" w:rsidRPr="0072223A">
        <w:rPr>
          <w:rFonts w:cs="Arial"/>
          <w:bCs/>
          <w:szCs w:val="22"/>
        </w:rPr>
        <w:tab/>
      </w:r>
      <w:r w:rsidR="000A364B" w:rsidRPr="0072223A">
        <w:rPr>
          <w:rFonts w:cs="Arial"/>
          <w:bCs/>
          <w:szCs w:val="22"/>
        </w:rPr>
        <w:t>Licitaç</w:t>
      </w:r>
      <w:r w:rsidR="00803348" w:rsidRPr="0072223A">
        <w:rPr>
          <w:rFonts w:cs="Arial"/>
          <w:bCs/>
          <w:szCs w:val="22"/>
        </w:rPr>
        <w:t>ão Eletrônic</w:t>
      </w:r>
      <w:r w:rsidR="000A364B" w:rsidRPr="0072223A">
        <w:rPr>
          <w:rFonts w:cs="Arial"/>
          <w:bCs/>
          <w:szCs w:val="22"/>
        </w:rPr>
        <w:t>a</w:t>
      </w:r>
      <w:r w:rsidR="00803348" w:rsidRPr="0072223A">
        <w:rPr>
          <w:rFonts w:cs="Arial"/>
          <w:bCs/>
          <w:szCs w:val="22"/>
        </w:rPr>
        <w:t xml:space="preserve"> </w:t>
      </w:r>
      <w:r w:rsidR="001C3BFA" w:rsidRPr="0072223A">
        <w:rPr>
          <w:rFonts w:cs="Arial"/>
          <w:bCs/>
          <w:szCs w:val="22"/>
        </w:rPr>
        <w:t>530-TK20506</w:t>
      </w:r>
    </w:p>
    <w:p w14:paraId="0EBBAF34" w14:textId="6AE4D4FD" w:rsidR="00FB6CEA" w:rsidRPr="0072223A" w:rsidRDefault="00AA4E3F" w:rsidP="00803348">
      <w:pPr>
        <w:tabs>
          <w:tab w:val="left" w:pos="1134"/>
          <w:tab w:val="left" w:pos="7938"/>
        </w:tabs>
        <w:spacing w:before="120" w:after="240"/>
        <w:ind w:left="1134" w:hanging="1134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Objeto: </w:t>
      </w:r>
      <w:r>
        <w:rPr>
          <w:rFonts w:cs="Arial"/>
          <w:bCs/>
          <w:szCs w:val="22"/>
        </w:rPr>
        <w:tab/>
      </w:r>
      <w:r w:rsidR="006E663A" w:rsidRPr="0072223A">
        <w:rPr>
          <w:rFonts w:cs="Arial"/>
          <w:bCs/>
          <w:szCs w:val="22"/>
        </w:rPr>
        <w:t>Implantação do Sistema de alimentação de energia distribuído</w:t>
      </w:r>
    </w:p>
    <w:bookmarkEnd w:id="0"/>
    <w:p w14:paraId="5B36C2C3" w14:textId="77777777" w:rsidR="00FB6CEA" w:rsidRDefault="00FB6CEA" w:rsidP="00FB6CEA">
      <w:pPr>
        <w:pStyle w:val="Recuodecorpodetexto3"/>
        <w:ind w:left="0" w:firstLine="0"/>
        <w:rPr>
          <w:rFonts w:cs="Arial"/>
        </w:rPr>
      </w:pPr>
    </w:p>
    <w:p w14:paraId="2C2201C9" w14:textId="272455CE" w:rsidR="00836C62" w:rsidRPr="005632F1" w:rsidRDefault="00836C62" w:rsidP="00FB6CEA">
      <w:pPr>
        <w:pStyle w:val="Recuodecorpodetexto3"/>
        <w:ind w:left="0" w:firstLine="0"/>
        <w:rPr>
          <w:rFonts w:cs="Arial"/>
          <w:szCs w:val="22"/>
        </w:rPr>
      </w:pPr>
      <w:r w:rsidRPr="005632F1">
        <w:rPr>
          <w:rFonts w:cs="Arial"/>
          <w:szCs w:val="22"/>
        </w:rPr>
        <w:t>O</w:t>
      </w:r>
      <w:r w:rsidR="00AE6884">
        <w:rPr>
          <w:rFonts w:cs="Arial"/>
          <w:szCs w:val="22"/>
        </w:rPr>
        <w:t>s</w:t>
      </w:r>
      <w:r w:rsidRPr="005632F1">
        <w:rPr>
          <w:rFonts w:cs="Arial"/>
          <w:szCs w:val="22"/>
        </w:rPr>
        <w:t xml:space="preserve"> pedido</w:t>
      </w:r>
      <w:r w:rsidR="00AE6884">
        <w:rPr>
          <w:rFonts w:cs="Arial"/>
          <w:szCs w:val="22"/>
        </w:rPr>
        <w:t>s</w:t>
      </w:r>
      <w:r w:rsidRPr="005632F1">
        <w:rPr>
          <w:rFonts w:cs="Arial"/>
          <w:szCs w:val="22"/>
        </w:rPr>
        <w:t xml:space="preserve"> de esclarecimento</w:t>
      </w:r>
      <w:r w:rsidR="00AE6884">
        <w:rPr>
          <w:rFonts w:cs="Arial"/>
          <w:szCs w:val="22"/>
        </w:rPr>
        <w:t>s</w:t>
      </w:r>
      <w:r w:rsidRPr="005632F1">
        <w:rPr>
          <w:rFonts w:cs="Arial"/>
          <w:szCs w:val="22"/>
        </w:rPr>
        <w:t xml:space="preserve"> abaixo fo</w:t>
      </w:r>
      <w:r w:rsidR="00AE6884">
        <w:rPr>
          <w:rFonts w:cs="Arial"/>
          <w:szCs w:val="22"/>
        </w:rPr>
        <w:t>ram</w:t>
      </w:r>
      <w:r w:rsidRPr="005632F1">
        <w:rPr>
          <w:rFonts w:cs="Arial"/>
          <w:szCs w:val="22"/>
        </w:rPr>
        <w:t xml:space="preserve"> encaminhado</w:t>
      </w:r>
      <w:r w:rsidR="00AE6884">
        <w:rPr>
          <w:rFonts w:cs="Arial"/>
          <w:szCs w:val="22"/>
        </w:rPr>
        <w:t>s</w:t>
      </w:r>
      <w:r w:rsidRPr="005632F1">
        <w:rPr>
          <w:rFonts w:cs="Arial"/>
          <w:szCs w:val="22"/>
        </w:rPr>
        <w:t xml:space="preserve"> para a </w:t>
      </w:r>
      <w:r w:rsidR="008E1CCD" w:rsidRPr="008E1CCD">
        <w:rPr>
          <w:rFonts w:cs="Arial"/>
          <w:szCs w:val="22"/>
        </w:rPr>
        <w:t>Gerência de Engenharia, Automação e Sistemas da Distribuição - ED/ES</w:t>
      </w:r>
      <w:r w:rsidR="008E1CCD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 xml:space="preserve">solicitante desta contratação, </w:t>
      </w:r>
      <w:r w:rsidRPr="005632F1">
        <w:rPr>
          <w:rFonts w:cs="Arial"/>
          <w:szCs w:val="22"/>
        </w:rPr>
        <w:t>que apresentou a</w:t>
      </w:r>
      <w:r w:rsidR="00AE6884">
        <w:rPr>
          <w:rFonts w:cs="Arial"/>
          <w:szCs w:val="22"/>
        </w:rPr>
        <w:t>s</w:t>
      </w:r>
      <w:r w:rsidRPr="005632F1">
        <w:rPr>
          <w:rFonts w:cs="Arial"/>
          <w:szCs w:val="22"/>
        </w:rPr>
        <w:t xml:space="preserve"> seguinte</w:t>
      </w:r>
      <w:r w:rsidR="00AE6884">
        <w:rPr>
          <w:rFonts w:cs="Arial"/>
          <w:szCs w:val="22"/>
        </w:rPr>
        <w:t>s</w:t>
      </w:r>
      <w:r w:rsidRPr="005632F1">
        <w:rPr>
          <w:rFonts w:cs="Arial"/>
          <w:szCs w:val="22"/>
        </w:rPr>
        <w:t xml:space="preserve"> resposta</w:t>
      </w:r>
      <w:r w:rsidR="00AE6884">
        <w:rPr>
          <w:rFonts w:cs="Arial"/>
          <w:szCs w:val="22"/>
        </w:rPr>
        <w:t>s</w:t>
      </w:r>
      <w:r w:rsidRPr="005632F1">
        <w:rPr>
          <w:rFonts w:cs="Arial"/>
          <w:szCs w:val="22"/>
        </w:rPr>
        <w:t>:</w:t>
      </w:r>
    </w:p>
    <w:p w14:paraId="7D2184B2" w14:textId="77777777" w:rsidR="00FB6CEA" w:rsidRPr="00E214F4" w:rsidRDefault="00FB6CEA" w:rsidP="00FB6CEA">
      <w:pPr>
        <w:pStyle w:val="Cabealho"/>
        <w:tabs>
          <w:tab w:val="clear" w:pos="4419"/>
          <w:tab w:val="clear" w:pos="8838"/>
          <w:tab w:val="left" w:pos="567"/>
          <w:tab w:val="left" w:pos="7938"/>
        </w:tabs>
        <w:jc w:val="both"/>
        <w:rPr>
          <w:rFonts w:cs="Arial"/>
          <w:szCs w:val="22"/>
        </w:rPr>
      </w:pPr>
    </w:p>
    <w:p w14:paraId="5EB3BCBA" w14:textId="77777777" w:rsidR="0068529B" w:rsidRDefault="0068529B" w:rsidP="0068529B">
      <w:pPr>
        <w:numPr>
          <w:ilvl w:val="0"/>
          <w:numId w:val="1"/>
        </w:numPr>
        <w:spacing w:before="120" w:after="120"/>
        <w:ind w:left="426"/>
        <w:jc w:val="both"/>
        <w:rPr>
          <w:rFonts w:cs="Arial"/>
          <w:szCs w:val="22"/>
        </w:rPr>
      </w:pPr>
      <w:r w:rsidRPr="00E214F4">
        <w:rPr>
          <w:rFonts w:cs="Arial"/>
          <w:b/>
          <w:szCs w:val="22"/>
        </w:rPr>
        <w:t>Pergunta</w:t>
      </w:r>
      <w:r>
        <w:rPr>
          <w:rFonts w:cs="Arial"/>
          <w:szCs w:val="22"/>
        </w:rPr>
        <w:t>:</w:t>
      </w:r>
    </w:p>
    <w:p w14:paraId="22EB9738" w14:textId="77777777" w:rsidR="008975A1" w:rsidRDefault="008975A1" w:rsidP="008975A1">
      <w:pPr>
        <w:shd w:val="clear" w:color="auto" w:fill="FFFFFF" w:themeFill="background1"/>
        <w:jc w:val="both"/>
        <w:textAlignment w:val="baseline"/>
        <w:rPr>
          <w:rFonts w:cs="Arial"/>
          <w:color w:val="000000"/>
          <w:bdr w:val="none" w:sz="0" w:space="0" w:color="auto" w:frame="1"/>
        </w:rPr>
      </w:pPr>
      <w:r w:rsidRPr="00DF146D">
        <w:rPr>
          <w:rFonts w:cs="Arial"/>
          <w:color w:val="000000"/>
          <w:bdr w:val="none" w:sz="0" w:space="0" w:color="auto" w:frame="1"/>
        </w:rPr>
        <w:t xml:space="preserve">Analisando o edital do processo acima, </w:t>
      </w:r>
      <w:r>
        <w:rPr>
          <w:rFonts w:cs="Arial"/>
          <w:color w:val="000000"/>
          <w:bdr w:val="none" w:sz="0" w:space="0" w:color="auto" w:frame="1"/>
        </w:rPr>
        <w:t>conforme item:</w:t>
      </w:r>
    </w:p>
    <w:p w14:paraId="43150C25" w14:textId="77777777" w:rsidR="008975A1" w:rsidRDefault="008975A1" w:rsidP="008975A1">
      <w:pPr>
        <w:shd w:val="clear" w:color="auto" w:fill="FFFFFF" w:themeFill="background1"/>
        <w:jc w:val="both"/>
        <w:textAlignment w:val="baseline"/>
        <w:rPr>
          <w:rFonts w:cs="Arial"/>
          <w:color w:val="000000"/>
          <w:bdr w:val="none" w:sz="0" w:space="0" w:color="auto" w:frame="1"/>
        </w:rPr>
      </w:pPr>
    </w:p>
    <w:p w14:paraId="197FC840" w14:textId="5AF695D9" w:rsidR="008975A1" w:rsidRPr="00DE37DB" w:rsidRDefault="008975A1" w:rsidP="00DE37DB">
      <w:pPr>
        <w:pStyle w:val="PargrafodaLista"/>
        <w:numPr>
          <w:ilvl w:val="2"/>
          <w:numId w:val="4"/>
        </w:numPr>
        <w:jc w:val="both"/>
        <w:rPr>
          <w:rFonts w:cs="Arial"/>
          <w:bCs/>
          <w:iCs/>
          <w:color w:val="000000" w:themeColor="text1"/>
        </w:rPr>
      </w:pPr>
      <w:r w:rsidRPr="00DE37DB">
        <w:rPr>
          <w:rFonts w:cs="Arial"/>
          <w:bCs/>
          <w:iCs/>
          <w:color w:val="000000" w:themeColor="text1"/>
        </w:rPr>
        <w:t>Apresentarem atestado de capacidade técnico-operacional da licitante emitido por pessoa jurídica de direito público ou privado, exceto pelo próprio Proponente, comprovando a experiência da empresa em liderar, montar e comissionar em regime de solução integrada, em pelo menos um empreendimento de sistema de armazenamento de energia em baterias instalado no Brasil, com capacidade de armazenamento igual ou superior a 1 MWh.</w:t>
      </w:r>
    </w:p>
    <w:p w14:paraId="56320CCD" w14:textId="77777777" w:rsidR="008975A1" w:rsidRDefault="008975A1" w:rsidP="008975A1">
      <w:pPr>
        <w:pStyle w:val="PargrafodaLista"/>
        <w:ind w:left="1843"/>
        <w:jc w:val="both"/>
        <w:rPr>
          <w:rFonts w:cs="Arial"/>
          <w:bCs/>
          <w:iCs/>
          <w:color w:val="000000" w:themeColor="text1"/>
        </w:rPr>
      </w:pPr>
    </w:p>
    <w:p w14:paraId="5921EE3C" w14:textId="13FDFF93" w:rsidR="008975A1" w:rsidRPr="00DE37DB" w:rsidRDefault="008975A1" w:rsidP="00DE37DB">
      <w:pPr>
        <w:pStyle w:val="PargrafodaLista"/>
        <w:numPr>
          <w:ilvl w:val="3"/>
          <w:numId w:val="4"/>
        </w:numPr>
        <w:jc w:val="both"/>
        <w:rPr>
          <w:rFonts w:cs="Arial"/>
          <w:bCs/>
          <w:iCs/>
          <w:color w:val="000000" w:themeColor="text1"/>
        </w:rPr>
      </w:pPr>
      <w:r w:rsidRPr="00DE37DB">
        <w:rPr>
          <w:rFonts w:cs="Arial"/>
          <w:bCs/>
          <w:iCs/>
          <w:color w:val="000000" w:themeColor="text1"/>
        </w:rPr>
        <w:t>para atendimento ao item acima, caso exista a relação matriz - filial, será aceito o atestado em nome da empresa matriz, desde que, concomitantemente, seja apresentado Convênio ou Contrato de Cooperação Técnica entre elas, específico para o objeto deste certame, apresentando cláusula garantidora de responsabilidade solidária entre as empresas envolvidas, seja na entrega dos produtos ou serviços, quanto nas garantias financeiras e tributos devidos decorridos do presente processo em contratação. Neste caso, o responsável técnico referido no atestado deverá ser o responsável técnico por este projeto devendo acompanhar todo o processo de implantação.</w:t>
      </w:r>
    </w:p>
    <w:p w14:paraId="4DD34FCC" w14:textId="77777777" w:rsidR="008975A1" w:rsidRDefault="008975A1" w:rsidP="008975A1">
      <w:pPr>
        <w:shd w:val="clear" w:color="auto" w:fill="FFFFFF" w:themeFill="background1"/>
        <w:jc w:val="both"/>
        <w:textAlignment w:val="baseline"/>
        <w:rPr>
          <w:rFonts w:cs="Arial"/>
          <w:color w:val="000000"/>
          <w:bdr w:val="none" w:sz="0" w:space="0" w:color="auto" w:frame="1"/>
        </w:rPr>
      </w:pPr>
    </w:p>
    <w:p w14:paraId="4F369CEA" w14:textId="77777777" w:rsidR="008975A1" w:rsidRDefault="008975A1" w:rsidP="008975A1">
      <w:pPr>
        <w:shd w:val="clear" w:color="auto" w:fill="FFFFFF" w:themeFill="background1"/>
        <w:jc w:val="both"/>
        <w:textAlignment w:val="baseline"/>
        <w:rPr>
          <w:rFonts w:cs="Arial"/>
          <w:color w:val="000000"/>
          <w:bdr w:val="none" w:sz="0" w:space="0" w:color="auto" w:frame="1"/>
        </w:rPr>
      </w:pPr>
    </w:p>
    <w:p w14:paraId="7D2EA8D4" w14:textId="77777777" w:rsidR="008975A1" w:rsidRPr="00DF146D" w:rsidRDefault="008975A1" w:rsidP="008975A1">
      <w:pPr>
        <w:shd w:val="clear" w:color="auto" w:fill="FFFFFF" w:themeFill="background1"/>
        <w:jc w:val="both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V</w:t>
      </w:r>
      <w:r w:rsidRPr="00DF146D">
        <w:rPr>
          <w:rFonts w:cs="Arial"/>
          <w:color w:val="000000"/>
          <w:bdr w:val="none" w:sz="0" w:space="0" w:color="auto" w:frame="1"/>
        </w:rPr>
        <w:t>erificou-se que não há qualquer vedação a participação da Licitante com o Grupo Econômico, não sendo expresso à possibilidade de apresentação de atestados em favor de empresas do mesmo grupo da Licitante. Assim, gostaríamos de destacar alguns fatores importantes que ajudarão a CEMIG a avaliar de forma mais completa a nossa pergunta.</w:t>
      </w:r>
    </w:p>
    <w:p w14:paraId="020FB578" w14:textId="77777777" w:rsidR="008975A1" w:rsidRPr="00DF146D" w:rsidRDefault="008975A1" w:rsidP="008975A1">
      <w:pPr>
        <w:shd w:val="clear" w:color="auto" w:fill="FFFFFF" w:themeFill="background1"/>
        <w:jc w:val="both"/>
        <w:textAlignment w:val="baseline"/>
        <w:rPr>
          <w:rFonts w:cs="Arial"/>
          <w:color w:val="000000"/>
          <w:bdr w:val="none" w:sz="0" w:space="0" w:color="auto" w:frame="1"/>
        </w:rPr>
      </w:pPr>
    </w:p>
    <w:p w14:paraId="2FB1782A" w14:textId="77777777" w:rsidR="008975A1" w:rsidRPr="00DF146D" w:rsidRDefault="008975A1" w:rsidP="008975A1">
      <w:pPr>
        <w:pStyle w:val="PargrafodaLista"/>
        <w:numPr>
          <w:ilvl w:val="0"/>
          <w:numId w:val="2"/>
        </w:numPr>
        <w:shd w:val="clear" w:color="auto" w:fill="FFFFFF" w:themeFill="background1"/>
        <w:jc w:val="both"/>
        <w:textAlignment w:val="baseline"/>
        <w:rPr>
          <w:rFonts w:cs="Arial"/>
          <w:color w:val="000000"/>
          <w:bdr w:val="none" w:sz="0" w:space="0" w:color="auto" w:frame="1"/>
        </w:rPr>
      </w:pPr>
      <w:r w:rsidRPr="00DF146D">
        <w:rPr>
          <w:rFonts w:cs="Arial"/>
          <w:color w:val="000000"/>
          <w:bdr w:val="none" w:sz="0" w:space="0" w:color="auto" w:frame="1"/>
        </w:rPr>
        <w:t>Em algumas situações duas ou mais sociedades unem esforços, acervo técnico e maquinário, para desenvolver de forma mais produtiva e eficiente suas atividades econômicas, o que possibilita uma melhor prestação de serviços.</w:t>
      </w:r>
    </w:p>
    <w:p w14:paraId="465BA63F" w14:textId="77777777" w:rsidR="008975A1" w:rsidRPr="00DF146D" w:rsidRDefault="008975A1" w:rsidP="008975A1">
      <w:pPr>
        <w:pStyle w:val="PargrafodaLista"/>
        <w:shd w:val="clear" w:color="auto" w:fill="FFFFFF" w:themeFill="background1"/>
        <w:jc w:val="both"/>
        <w:textAlignment w:val="baseline"/>
        <w:rPr>
          <w:rFonts w:cs="Arial"/>
          <w:color w:val="000000"/>
          <w:bdr w:val="none" w:sz="0" w:space="0" w:color="auto" w:frame="1"/>
        </w:rPr>
      </w:pPr>
    </w:p>
    <w:p w14:paraId="45059834" w14:textId="77777777" w:rsidR="008975A1" w:rsidRPr="00DF146D" w:rsidRDefault="008975A1" w:rsidP="008975A1">
      <w:pPr>
        <w:pStyle w:val="PargrafodaLista"/>
        <w:numPr>
          <w:ilvl w:val="0"/>
          <w:numId w:val="2"/>
        </w:numPr>
        <w:shd w:val="clear" w:color="auto" w:fill="FFFFFF" w:themeFill="background1"/>
        <w:jc w:val="both"/>
        <w:textAlignment w:val="baseline"/>
        <w:rPr>
          <w:rFonts w:cs="Arial"/>
          <w:color w:val="000000"/>
          <w:bdr w:val="none" w:sz="0" w:space="0" w:color="auto" w:frame="1"/>
        </w:rPr>
      </w:pPr>
      <w:r w:rsidRPr="00DF146D">
        <w:rPr>
          <w:rFonts w:cs="Arial"/>
          <w:color w:val="000000"/>
          <w:bdr w:val="none" w:sz="0" w:space="0" w:color="auto" w:frame="1"/>
        </w:rPr>
        <w:t>Eventual limitação de participação de empresas integrantes do mesmo grupo econômico da licitante que sejam detentoras de tais atestados limitaria a participação de empresas que possuem esse conhecimento e estão capacitadas para o futuro certame, prejudicando, por consequência, a escolha da proposta mais vantajosa para a CEMIG;</w:t>
      </w:r>
    </w:p>
    <w:p w14:paraId="02ACCA27" w14:textId="77777777" w:rsidR="008975A1" w:rsidRPr="00DF146D" w:rsidRDefault="008975A1" w:rsidP="008975A1">
      <w:pPr>
        <w:pStyle w:val="PargrafodaLista"/>
        <w:rPr>
          <w:rFonts w:cs="Arial"/>
          <w:color w:val="000000"/>
          <w:bdr w:val="none" w:sz="0" w:space="0" w:color="auto" w:frame="1"/>
        </w:rPr>
      </w:pPr>
    </w:p>
    <w:p w14:paraId="39D3E3AE" w14:textId="77777777" w:rsidR="008975A1" w:rsidRPr="00B712BA" w:rsidRDefault="008975A1" w:rsidP="008975A1">
      <w:pPr>
        <w:pStyle w:val="PargrafodaLista"/>
        <w:shd w:val="clear" w:color="auto" w:fill="FFFFFF" w:themeFill="background1"/>
        <w:ind w:left="2268"/>
        <w:jc w:val="both"/>
        <w:textAlignment w:val="baseline"/>
        <w:rPr>
          <w:rFonts w:cs="Arial"/>
          <w:i/>
          <w:iCs/>
          <w:color w:val="000000"/>
          <w:bdr w:val="none" w:sz="0" w:space="0" w:color="auto" w:frame="1"/>
        </w:rPr>
      </w:pPr>
      <w:r w:rsidRPr="00B712BA">
        <w:rPr>
          <w:rFonts w:cs="Arial"/>
          <w:i/>
          <w:iCs/>
          <w:color w:val="000000"/>
          <w:bdr w:val="none" w:sz="0" w:space="0" w:color="auto" w:frame="1"/>
        </w:rPr>
        <w:t xml:space="preserve">Entende a melhor doutrina em Direito Administrativo que “(...) a Administração não pode adotar medidas ou criar regras que comprometam, restrinjam ou frustrem o caráter competitivo da licitação. Em outras palavras, deve o procedimento possibilitar a disputa e o confronto entre os licitantes, para que a seleção se faça da melhor forma possível.” </w:t>
      </w:r>
    </w:p>
    <w:p w14:paraId="10D255D2" w14:textId="77777777" w:rsidR="008975A1" w:rsidRDefault="008975A1" w:rsidP="008975A1">
      <w:pPr>
        <w:pStyle w:val="PargrafodaLista"/>
        <w:shd w:val="clear" w:color="auto" w:fill="FFFFFF" w:themeFill="background1"/>
        <w:jc w:val="both"/>
        <w:textAlignment w:val="baseline"/>
        <w:rPr>
          <w:rFonts w:cs="Arial"/>
          <w:color w:val="000000"/>
          <w:bdr w:val="none" w:sz="0" w:space="0" w:color="auto" w:frame="1"/>
        </w:rPr>
      </w:pPr>
    </w:p>
    <w:p w14:paraId="703307F7" w14:textId="77777777" w:rsidR="008975A1" w:rsidRPr="00DF146D" w:rsidRDefault="008975A1" w:rsidP="008975A1">
      <w:pPr>
        <w:pStyle w:val="PargrafodaLista"/>
        <w:shd w:val="clear" w:color="auto" w:fill="FFFFFF" w:themeFill="background1"/>
        <w:ind w:left="2268"/>
        <w:jc w:val="both"/>
        <w:textAlignment w:val="baseline"/>
        <w:rPr>
          <w:rFonts w:cs="Arial"/>
          <w:color w:val="000000"/>
          <w:bdr w:val="none" w:sz="0" w:space="0" w:color="auto" w:frame="1"/>
        </w:rPr>
      </w:pPr>
      <w:r w:rsidRPr="00DF146D">
        <w:rPr>
          <w:rFonts w:cs="Arial"/>
          <w:color w:val="000000"/>
          <w:bdr w:val="none" w:sz="0" w:space="0" w:color="auto" w:frame="1"/>
        </w:rPr>
        <w:lastRenderedPageBreak/>
        <w:t xml:space="preserve">(CARVALHO FILHO, José dos Santos. Manual de Direito Administrativo. 19 ed. Rio de Janeiro: </w:t>
      </w:r>
      <w:proofErr w:type="spellStart"/>
      <w:r w:rsidRPr="00DF146D">
        <w:rPr>
          <w:rFonts w:cs="Arial"/>
          <w:color w:val="000000"/>
          <w:bdr w:val="none" w:sz="0" w:space="0" w:color="auto" w:frame="1"/>
        </w:rPr>
        <w:t>Lumen</w:t>
      </w:r>
      <w:proofErr w:type="spellEnd"/>
      <w:r w:rsidRPr="00DF146D">
        <w:rPr>
          <w:rFonts w:cs="Arial"/>
          <w:color w:val="000000"/>
          <w:bdr w:val="none" w:sz="0" w:space="0" w:color="auto" w:frame="1"/>
        </w:rPr>
        <w:t xml:space="preserve"> Juris, 2008. p.227);</w:t>
      </w:r>
    </w:p>
    <w:p w14:paraId="70C59526" w14:textId="77777777" w:rsidR="008975A1" w:rsidRPr="00DF146D" w:rsidRDefault="008975A1" w:rsidP="008975A1">
      <w:pPr>
        <w:pStyle w:val="PargrafodaLista"/>
        <w:shd w:val="clear" w:color="auto" w:fill="FFFFFF" w:themeFill="background1"/>
        <w:jc w:val="both"/>
        <w:textAlignment w:val="baseline"/>
        <w:rPr>
          <w:rFonts w:cs="Arial"/>
          <w:color w:val="000000"/>
          <w:bdr w:val="none" w:sz="0" w:space="0" w:color="auto" w:frame="1"/>
        </w:rPr>
      </w:pPr>
    </w:p>
    <w:p w14:paraId="66F7CDE9" w14:textId="77777777" w:rsidR="008975A1" w:rsidRDefault="008975A1" w:rsidP="008975A1">
      <w:pPr>
        <w:pStyle w:val="PargrafodaLista"/>
        <w:numPr>
          <w:ilvl w:val="0"/>
          <w:numId w:val="2"/>
        </w:numPr>
        <w:jc w:val="both"/>
        <w:rPr>
          <w:rFonts w:cs="Arial"/>
          <w:color w:val="000000"/>
          <w:kern w:val="2"/>
          <w:bdr w:val="none" w:sz="0" w:space="0" w:color="auto" w:frame="1"/>
          <w14:ligatures w14:val="standardContextual"/>
        </w:rPr>
      </w:pPr>
      <w:r w:rsidRPr="00DF146D">
        <w:rPr>
          <w:rFonts w:cs="Arial"/>
          <w:color w:val="000000"/>
          <w:kern w:val="2"/>
          <w:bdr w:val="none" w:sz="0" w:space="0" w:color="auto" w:frame="1"/>
          <w14:ligatures w14:val="standardContextual"/>
        </w:rPr>
        <w:t>Admir a aceitação de atestados em nome de empresas integrantes do mesmo grupo econômico da Licitante permitirá não só maior competitividade, como também o desenvolvimento eficiente e eficaz da economia nacional, trazendo conhecimento e expertise técnicos já desenvolvidos e aplicados com sucesso em outros países.</w:t>
      </w:r>
    </w:p>
    <w:p w14:paraId="4BA34E44" w14:textId="77777777" w:rsidR="008975A1" w:rsidRPr="00DF146D" w:rsidRDefault="008975A1" w:rsidP="008975A1">
      <w:pPr>
        <w:pStyle w:val="PargrafodaLista"/>
        <w:jc w:val="both"/>
        <w:rPr>
          <w:rFonts w:cs="Arial"/>
          <w:color w:val="000000"/>
          <w:kern w:val="2"/>
          <w:bdr w:val="none" w:sz="0" w:space="0" w:color="auto" w:frame="1"/>
          <w14:ligatures w14:val="standardContextual"/>
        </w:rPr>
      </w:pPr>
    </w:p>
    <w:p w14:paraId="52FE72C0" w14:textId="77777777" w:rsidR="008975A1" w:rsidRPr="00DF146D" w:rsidRDefault="008975A1" w:rsidP="008975A1">
      <w:pPr>
        <w:pStyle w:val="PargrafodaLista"/>
        <w:numPr>
          <w:ilvl w:val="0"/>
          <w:numId w:val="2"/>
        </w:numPr>
        <w:jc w:val="both"/>
        <w:rPr>
          <w:rFonts w:cs="Arial"/>
          <w:color w:val="000000"/>
          <w:bdr w:val="none" w:sz="0" w:space="0" w:color="auto" w:frame="1"/>
        </w:rPr>
      </w:pPr>
      <w:r w:rsidRPr="00DF146D">
        <w:rPr>
          <w:rFonts w:cs="Arial"/>
          <w:color w:val="000000"/>
          <w:bdr w:val="none" w:sz="0" w:space="0" w:color="auto" w:frame="1"/>
        </w:rPr>
        <w:t>Isto porque a experiência de uma empresa, que constitui sua propriedade imaterial, é amplamente compartilhada na sua extensão do modelo de operação;</w:t>
      </w:r>
    </w:p>
    <w:p w14:paraId="068506BF" w14:textId="77777777" w:rsidR="008975A1" w:rsidRPr="00DF146D" w:rsidRDefault="008975A1" w:rsidP="008975A1">
      <w:pPr>
        <w:pStyle w:val="PargrafodaLista"/>
        <w:jc w:val="both"/>
        <w:rPr>
          <w:rFonts w:cs="Arial"/>
          <w:color w:val="000000"/>
          <w:bdr w:val="none" w:sz="0" w:space="0" w:color="auto" w:frame="1"/>
        </w:rPr>
      </w:pPr>
    </w:p>
    <w:p w14:paraId="38607C71" w14:textId="77777777" w:rsidR="008975A1" w:rsidRPr="001D02AB" w:rsidRDefault="008975A1" w:rsidP="008975A1">
      <w:pPr>
        <w:pStyle w:val="PargrafodaLista"/>
        <w:numPr>
          <w:ilvl w:val="0"/>
          <w:numId w:val="2"/>
        </w:numPr>
        <w:jc w:val="both"/>
        <w:rPr>
          <w:rFonts w:cs="Arial"/>
          <w:color w:val="000000"/>
          <w:bdr w:val="none" w:sz="0" w:space="0" w:color="auto" w:frame="1"/>
        </w:rPr>
      </w:pPr>
      <w:r w:rsidRPr="001D02AB">
        <w:rPr>
          <w:rFonts w:cs="Arial"/>
          <w:color w:val="000000"/>
          <w:bdr w:val="none" w:sz="0" w:space="0" w:color="auto" w:frame="1"/>
        </w:rPr>
        <w:t xml:space="preserve"> Não há vedação na Lei de Licitações que afastam a utilização de atestados de empresas que possuem o mesmo Grupo Econômico;</w:t>
      </w:r>
    </w:p>
    <w:p w14:paraId="596FEEF7" w14:textId="39948AE9" w:rsidR="0068529B" w:rsidRDefault="0068529B" w:rsidP="00324DE8">
      <w:pPr>
        <w:spacing w:before="120" w:after="120"/>
        <w:ind w:left="426" w:right="-1"/>
        <w:jc w:val="both"/>
        <w:rPr>
          <w:rFonts w:cs="Arial"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>
        <w:rPr>
          <w:rFonts w:cs="Arial"/>
          <w:color w:val="002060"/>
          <w:szCs w:val="22"/>
        </w:rPr>
        <w:t>:</w:t>
      </w:r>
    </w:p>
    <w:p w14:paraId="26AC170C" w14:textId="4BB214B6" w:rsidR="00A36694" w:rsidRPr="00A36694" w:rsidRDefault="00744637" w:rsidP="00EC482D">
      <w:pPr>
        <w:ind w:left="426"/>
        <w:jc w:val="both"/>
        <w:rPr>
          <w:rFonts w:cs="Arial"/>
          <w:color w:val="002060"/>
          <w:szCs w:val="22"/>
        </w:rPr>
      </w:pPr>
      <w:r w:rsidRPr="00744637">
        <w:rPr>
          <w:rFonts w:cs="Arial"/>
          <w:color w:val="002060"/>
          <w:szCs w:val="22"/>
        </w:rPr>
        <w:t>Considerando que o grupo econômico é formado por empresas diversas, cada qual com personalidade jurídica</w:t>
      </w:r>
      <w:r w:rsidR="00AB3ECA">
        <w:rPr>
          <w:rFonts w:cs="Arial"/>
          <w:color w:val="002060"/>
          <w:szCs w:val="22"/>
        </w:rPr>
        <w:t xml:space="preserve"> distinta</w:t>
      </w:r>
      <w:r w:rsidRPr="00744637">
        <w:rPr>
          <w:rFonts w:cs="Arial"/>
          <w:color w:val="002060"/>
          <w:szCs w:val="22"/>
        </w:rPr>
        <w:t xml:space="preserve">, </w:t>
      </w:r>
      <w:r w:rsidR="00AB3ECA">
        <w:rPr>
          <w:rFonts w:cs="Arial"/>
          <w:color w:val="002060"/>
          <w:szCs w:val="22"/>
        </w:rPr>
        <w:t>a menos que exista cessão formal do acervo técnico em definitivo de uma empresa para outra</w:t>
      </w:r>
      <w:r w:rsidR="00EF19B1">
        <w:rPr>
          <w:rFonts w:cs="Arial"/>
          <w:color w:val="002060"/>
          <w:szCs w:val="22"/>
        </w:rPr>
        <w:t xml:space="preserve"> ou que seja atendido ao disposto no item </w:t>
      </w:r>
      <w:r w:rsidR="00563166">
        <w:rPr>
          <w:rFonts w:cs="Arial"/>
          <w:color w:val="002060"/>
          <w:szCs w:val="22"/>
        </w:rPr>
        <w:t>22.4.2.1 do Edital</w:t>
      </w:r>
      <w:r w:rsidR="00AB3ECA">
        <w:rPr>
          <w:rFonts w:cs="Arial"/>
          <w:color w:val="002060"/>
          <w:szCs w:val="22"/>
        </w:rPr>
        <w:t xml:space="preserve">, </w:t>
      </w:r>
      <w:r w:rsidR="00F11ADC">
        <w:rPr>
          <w:rFonts w:cs="Arial"/>
          <w:color w:val="002060"/>
          <w:szCs w:val="22"/>
        </w:rPr>
        <w:t>determinada</w:t>
      </w:r>
      <w:r w:rsidR="00F11ADC" w:rsidRPr="00744637">
        <w:rPr>
          <w:rFonts w:cs="Arial"/>
          <w:color w:val="002060"/>
          <w:szCs w:val="22"/>
        </w:rPr>
        <w:t xml:space="preserve"> </w:t>
      </w:r>
      <w:r w:rsidRPr="00744637">
        <w:rPr>
          <w:rFonts w:cs="Arial"/>
          <w:color w:val="002060"/>
          <w:szCs w:val="22"/>
        </w:rPr>
        <w:t>empresa não pode ser qualificada tecnicamente utilizando-se de atestados que comprovem atividades de outra empresa</w:t>
      </w:r>
      <w:r w:rsidR="00183FB0">
        <w:rPr>
          <w:rFonts w:cs="Arial"/>
          <w:color w:val="002060"/>
          <w:szCs w:val="22"/>
        </w:rPr>
        <w:t>, ainda que</w:t>
      </w:r>
      <w:r w:rsidRPr="00744637">
        <w:rPr>
          <w:rFonts w:cs="Arial"/>
          <w:color w:val="002060"/>
          <w:szCs w:val="22"/>
        </w:rPr>
        <w:t xml:space="preserve"> do mesmo grupo econômico.</w:t>
      </w:r>
    </w:p>
    <w:p w14:paraId="620A7567" w14:textId="77777777" w:rsidR="00707F71" w:rsidRDefault="00707F71" w:rsidP="00324DE8">
      <w:pPr>
        <w:spacing w:before="120" w:after="120"/>
        <w:ind w:left="426" w:right="-1"/>
        <w:jc w:val="both"/>
        <w:rPr>
          <w:rFonts w:cs="Arial"/>
          <w:color w:val="002060"/>
          <w:szCs w:val="22"/>
        </w:rPr>
      </w:pPr>
    </w:p>
    <w:p w14:paraId="6428BF62" w14:textId="77777777" w:rsidR="00D51382" w:rsidRDefault="00D51382" w:rsidP="00D51382">
      <w:pPr>
        <w:numPr>
          <w:ilvl w:val="0"/>
          <w:numId w:val="1"/>
        </w:numPr>
        <w:spacing w:before="120" w:after="120"/>
        <w:ind w:left="426"/>
        <w:jc w:val="both"/>
        <w:rPr>
          <w:rFonts w:cs="Arial"/>
          <w:szCs w:val="22"/>
        </w:rPr>
      </w:pPr>
      <w:r w:rsidRPr="00E214F4">
        <w:rPr>
          <w:rFonts w:cs="Arial"/>
          <w:b/>
          <w:szCs w:val="22"/>
        </w:rPr>
        <w:t>Pergunta</w:t>
      </w:r>
      <w:r>
        <w:rPr>
          <w:rFonts w:cs="Arial"/>
          <w:szCs w:val="22"/>
        </w:rPr>
        <w:t>:</w:t>
      </w:r>
    </w:p>
    <w:p w14:paraId="25C61770" w14:textId="056FC881" w:rsidR="003764CB" w:rsidRDefault="003764CB" w:rsidP="003764CB">
      <w:pPr>
        <w:spacing w:before="120" w:after="120"/>
        <w:ind w:left="426"/>
        <w:jc w:val="both"/>
        <w:rPr>
          <w:rFonts w:cs="Arial"/>
          <w:szCs w:val="22"/>
        </w:rPr>
      </w:pPr>
      <w:r w:rsidRPr="003764CB">
        <w:rPr>
          <w:rFonts w:cs="Arial"/>
          <w:szCs w:val="22"/>
        </w:rPr>
        <w:t>Estávamos preenchendo a planilha "15-TABELA DE PREÇOS" e verificamos que na aba "Totalizadora" o "VALOR GLOBAL DA PROPOSTA" da célula E16 está somando o valor da coluna H:H da aba "Eventos", porém na coluna H apresenta a "DATA DE EMISSÃO:" e está sendo somado ao "VALOR GLOBAL DA PROPOSTA". Pedimos por gentileza verificar.</w:t>
      </w:r>
      <w:r w:rsidRPr="003764CB">
        <w:rPr>
          <w:rFonts w:cs="Arial"/>
          <w:szCs w:val="22"/>
        </w:rPr>
        <w:br/>
      </w:r>
    </w:p>
    <w:p w14:paraId="49BB89E3" w14:textId="3304087D" w:rsidR="008718D9" w:rsidRDefault="00D51382" w:rsidP="00D51382">
      <w:pPr>
        <w:spacing w:before="120" w:after="120"/>
        <w:ind w:right="-1" w:firstLine="426"/>
        <w:jc w:val="both"/>
        <w:rPr>
          <w:rFonts w:cs="Arial"/>
          <w:b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 w:rsidR="00707F71">
        <w:rPr>
          <w:rFonts w:cs="Arial"/>
          <w:b/>
          <w:color w:val="002060"/>
          <w:szCs w:val="22"/>
        </w:rPr>
        <w:t>:</w:t>
      </w:r>
    </w:p>
    <w:p w14:paraId="22959DE0" w14:textId="646C3CFC" w:rsidR="00AD7E71" w:rsidRPr="003764CB" w:rsidRDefault="003764CB" w:rsidP="00077E4F">
      <w:pPr>
        <w:spacing w:before="120" w:after="120"/>
        <w:ind w:left="426" w:right="-1"/>
        <w:jc w:val="both"/>
        <w:rPr>
          <w:rFonts w:cs="Arial"/>
          <w:bCs/>
          <w:color w:val="002060"/>
          <w:szCs w:val="22"/>
        </w:rPr>
      </w:pPr>
      <w:r w:rsidRPr="003764CB">
        <w:rPr>
          <w:rFonts w:cs="Arial"/>
          <w:bCs/>
          <w:color w:val="002060"/>
          <w:szCs w:val="22"/>
        </w:rPr>
        <w:t>Favor reportar-se ao Adendo 04.</w:t>
      </w:r>
    </w:p>
    <w:p w14:paraId="64ECBAB2" w14:textId="77777777" w:rsidR="001B5D75" w:rsidRPr="00C157DE" w:rsidRDefault="001B5D75" w:rsidP="00D51382">
      <w:pPr>
        <w:spacing w:before="120" w:after="120"/>
        <w:ind w:right="-1" w:firstLine="426"/>
        <w:jc w:val="both"/>
        <w:rPr>
          <w:rFonts w:cs="Arial"/>
          <w:szCs w:val="22"/>
        </w:rPr>
      </w:pPr>
    </w:p>
    <w:p w14:paraId="18B54E94" w14:textId="63C95D26" w:rsidR="007C7FEB" w:rsidRPr="003D42CC" w:rsidRDefault="00C5668A" w:rsidP="0072223A">
      <w:pPr>
        <w:spacing w:before="120" w:after="960"/>
        <w:ind w:right="-1"/>
        <w:jc w:val="both"/>
        <w:rPr>
          <w:rFonts w:cs="Arial"/>
          <w:szCs w:val="22"/>
        </w:rPr>
      </w:pPr>
      <w:r w:rsidRPr="003D42CC">
        <w:rPr>
          <w:rFonts w:cs="Arial"/>
          <w:szCs w:val="22"/>
        </w:rPr>
        <w:t xml:space="preserve">Belo Horizonte, </w:t>
      </w:r>
      <w:r w:rsidR="008975A1">
        <w:rPr>
          <w:rFonts w:cs="Arial"/>
          <w:szCs w:val="22"/>
        </w:rPr>
        <w:t>21</w:t>
      </w:r>
      <w:r w:rsidR="00D81536" w:rsidRPr="003D42CC">
        <w:rPr>
          <w:rFonts w:cs="Arial"/>
          <w:szCs w:val="22"/>
        </w:rPr>
        <w:t xml:space="preserve"> de </w:t>
      </w:r>
      <w:r w:rsidR="0072223A" w:rsidRPr="003D42CC">
        <w:rPr>
          <w:rFonts w:cs="Arial"/>
          <w:szCs w:val="22"/>
        </w:rPr>
        <w:t>junho</w:t>
      </w:r>
      <w:r w:rsidR="00D81536" w:rsidRPr="003D42CC">
        <w:rPr>
          <w:rFonts w:cs="Arial"/>
          <w:szCs w:val="22"/>
        </w:rPr>
        <w:t xml:space="preserve"> de </w:t>
      </w:r>
      <w:r w:rsidR="005E189E" w:rsidRPr="003D42CC">
        <w:rPr>
          <w:rFonts w:cs="Arial"/>
          <w:szCs w:val="22"/>
        </w:rPr>
        <w:t>202</w:t>
      </w:r>
      <w:r w:rsidR="009A3B38" w:rsidRPr="003D42CC">
        <w:rPr>
          <w:rFonts w:cs="Arial"/>
          <w:szCs w:val="22"/>
        </w:rPr>
        <w:t>4</w:t>
      </w:r>
      <w:r w:rsidR="0072223A" w:rsidRPr="003D42CC">
        <w:rPr>
          <w:rFonts w:cs="Arial"/>
          <w:szCs w:val="22"/>
        </w:rPr>
        <w:t>.</w:t>
      </w:r>
    </w:p>
    <w:p w14:paraId="702D12D0" w14:textId="02F4F025" w:rsidR="0072223A" w:rsidRPr="0072223A" w:rsidRDefault="0072223A" w:rsidP="0072223A">
      <w:pPr>
        <w:spacing w:before="120" w:after="960"/>
        <w:ind w:right="-1"/>
        <w:jc w:val="both"/>
        <w:rPr>
          <w:rFonts w:cs="Arial"/>
          <w:szCs w:val="22"/>
        </w:rPr>
      </w:pPr>
      <w:r>
        <w:rPr>
          <w:rFonts w:cs="Arial"/>
          <w:szCs w:val="22"/>
        </w:rPr>
        <w:t>Presidente da Sessão</w:t>
      </w:r>
    </w:p>
    <w:sectPr w:rsidR="0072223A" w:rsidRPr="0072223A" w:rsidSect="00853911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567" w:right="1134" w:bottom="567" w:left="1418" w:header="142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94227" w14:textId="77777777" w:rsidR="00236E13" w:rsidRDefault="00236E13">
      <w:r>
        <w:separator/>
      </w:r>
    </w:p>
  </w:endnote>
  <w:endnote w:type="continuationSeparator" w:id="0">
    <w:p w14:paraId="6091C2BF" w14:textId="77777777" w:rsidR="00236E13" w:rsidRDefault="0023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108B" w14:textId="7DEBBE48" w:rsidR="003E2981" w:rsidRDefault="003E2981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EFCD5C" wp14:editId="0A51B8F5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2" name="Caixa de Texto 2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20F2D" w14:textId="3B9D1753" w:rsidR="003E2981" w:rsidRPr="003E2981" w:rsidRDefault="003E298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3E29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FCD5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ção: Público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5ED20F2D" w14:textId="3B9D1753" w:rsidR="003E2981" w:rsidRPr="003E2981" w:rsidRDefault="003E298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3E298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C1B20" w14:textId="56DEB47E" w:rsidR="00206948" w:rsidRPr="00C6749C" w:rsidRDefault="00206948" w:rsidP="00206948">
    <w:pPr>
      <w:pBdr>
        <w:bottom w:val="single" w:sz="12" w:space="1" w:color="auto"/>
      </w:pBdr>
      <w:tabs>
        <w:tab w:val="center" w:pos="4419"/>
        <w:tab w:val="right" w:pos="8838"/>
      </w:tabs>
      <w:rPr>
        <w:sz w:val="12"/>
      </w:rPr>
    </w:pPr>
  </w:p>
  <w:p w14:paraId="0A895A2B" w14:textId="77777777" w:rsidR="00206948" w:rsidRPr="00C6749C" w:rsidRDefault="00206948" w:rsidP="00206948">
    <w:pPr>
      <w:tabs>
        <w:tab w:val="center" w:pos="4419"/>
        <w:tab w:val="right" w:pos="8838"/>
      </w:tabs>
      <w:jc w:val="center"/>
      <w:rPr>
        <w:sz w:val="12"/>
      </w:rPr>
    </w:pPr>
  </w:p>
  <w:p w14:paraId="5254D84B" w14:textId="77777777" w:rsidR="00206948" w:rsidRPr="00853911" w:rsidRDefault="00206948" w:rsidP="00206948">
    <w:pPr>
      <w:tabs>
        <w:tab w:val="center" w:pos="4419"/>
        <w:tab w:val="right" w:pos="8838"/>
      </w:tabs>
      <w:jc w:val="center"/>
      <w:rPr>
        <w:sz w:val="20"/>
      </w:rPr>
    </w:pPr>
    <w:r w:rsidRPr="00853911">
      <w:rPr>
        <w:sz w:val="20"/>
      </w:rPr>
      <w:t xml:space="preserve">Página </w:t>
    </w:r>
    <w:r w:rsidRPr="00853911">
      <w:rPr>
        <w:b/>
        <w:bCs/>
        <w:sz w:val="20"/>
      </w:rPr>
      <w:fldChar w:fldCharType="begin"/>
    </w:r>
    <w:r w:rsidRPr="00853911">
      <w:rPr>
        <w:b/>
        <w:bCs/>
        <w:sz w:val="20"/>
      </w:rPr>
      <w:instrText>PAGE</w:instrText>
    </w:r>
    <w:r w:rsidRPr="00853911">
      <w:rPr>
        <w:b/>
        <w:bCs/>
        <w:sz w:val="20"/>
      </w:rPr>
      <w:fldChar w:fldCharType="separate"/>
    </w:r>
    <w:r w:rsidR="00D62533">
      <w:rPr>
        <w:b/>
        <w:bCs/>
        <w:noProof/>
        <w:sz w:val="20"/>
      </w:rPr>
      <w:t>1</w:t>
    </w:r>
    <w:r w:rsidRPr="00853911">
      <w:rPr>
        <w:b/>
        <w:bCs/>
        <w:sz w:val="20"/>
      </w:rPr>
      <w:fldChar w:fldCharType="end"/>
    </w:r>
    <w:r w:rsidRPr="00853911">
      <w:rPr>
        <w:sz w:val="20"/>
      </w:rPr>
      <w:t xml:space="preserve"> de </w:t>
    </w:r>
    <w:r w:rsidRPr="00853911">
      <w:rPr>
        <w:b/>
        <w:bCs/>
        <w:sz w:val="20"/>
      </w:rPr>
      <w:fldChar w:fldCharType="begin"/>
    </w:r>
    <w:r w:rsidRPr="00853911">
      <w:rPr>
        <w:b/>
        <w:bCs/>
        <w:sz w:val="20"/>
      </w:rPr>
      <w:instrText>NUMPAGES</w:instrText>
    </w:r>
    <w:r w:rsidRPr="00853911">
      <w:rPr>
        <w:b/>
        <w:bCs/>
        <w:sz w:val="20"/>
      </w:rPr>
      <w:fldChar w:fldCharType="separate"/>
    </w:r>
    <w:r w:rsidR="00D62533">
      <w:rPr>
        <w:b/>
        <w:bCs/>
        <w:noProof/>
        <w:sz w:val="20"/>
      </w:rPr>
      <w:t>1</w:t>
    </w:r>
    <w:r w:rsidRPr="00853911">
      <w:rPr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3D7A" w14:textId="2E66F10F" w:rsidR="003E2981" w:rsidRDefault="003E2981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3A877E" wp14:editId="3C1E97D2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" name="Caixa de Texto 1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B587B6" w14:textId="41241288" w:rsidR="003E2981" w:rsidRPr="003E2981" w:rsidRDefault="003E298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3E29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A877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Classificação: Público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1AB587B6" w14:textId="41241288" w:rsidR="003E2981" w:rsidRPr="003E2981" w:rsidRDefault="003E298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3E298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5FA91" w14:textId="77777777" w:rsidR="00236E13" w:rsidRDefault="00236E13">
      <w:r>
        <w:separator/>
      </w:r>
    </w:p>
  </w:footnote>
  <w:footnote w:type="continuationSeparator" w:id="0">
    <w:p w14:paraId="67FF610B" w14:textId="77777777" w:rsidR="00236E13" w:rsidRDefault="00236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5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67"/>
      <w:gridCol w:w="1276"/>
      <w:gridCol w:w="2492"/>
    </w:tblGrid>
    <w:tr w:rsidR="00DE2324" w:rsidRPr="008A5E99" w14:paraId="139E5967" w14:textId="77777777" w:rsidTr="00DE2324">
      <w:trPr>
        <w:cantSplit/>
        <w:trHeight w:val="315"/>
      </w:trPr>
      <w:tc>
        <w:tcPr>
          <w:tcW w:w="5667" w:type="dxa"/>
          <w:vMerge w:val="restart"/>
          <w:vAlign w:val="center"/>
        </w:tcPr>
        <w:p w14:paraId="536E3231" w14:textId="77777777" w:rsidR="00DE2324" w:rsidRPr="00C214EA" w:rsidRDefault="00DE2324" w:rsidP="00DE2324">
          <w:pPr>
            <w:rPr>
              <w:rFonts w:ascii="Calibri" w:hAnsi="Calibri" w:cs="Calibri"/>
              <w:b/>
              <w:sz w:val="10"/>
              <w:szCs w:val="10"/>
            </w:rPr>
          </w:pPr>
          <w:r>
            <w:rPr>
              <w:rFonts w:ascii="Calibri" w:hAnsi="Calibri" w:cs="Calibri"/>
              <w:b/>
              <w:sz w:val="26"/>
              <w:szCs w:val="26"/>
            </w:rPr>
            <w:t>ESCLARECIMENTO</w:t>
          </w:r>
        </w:p>
      </w:tc>
      <w:tc>
        <w:tcPr>
          <w:tcW w:w="1276" w:type="dxa"/>
          <w:vAlign w:val="center"/>
        </w:tcPr>
        <w:p w14:paraId="45886C0D" w14:textId="77777777" w:rsidR="00DE2324" w:rsidRPr="00756516" w:rsidRDefault="00DE2324" w:rsidP="00DE2324">
          <w:pPr>
            <w:tabs>
              <w:tab w:val="left" w:pos="1075"/>
            </w:tabs>
            <w:jc w:val="center"/>
            <w:rPr>
              <w:rFonts w:ascii="Calibri" w:hAnsi="Calibri" w:cs="Calibri"/>
              <w:sz w:val="16"/>
              <w:szCs w:val="14"/>
            </w:rPr>
          </w:pPr>
          <w:r w:rsidRPr="00C214EA">
            <w:rPr>
              <w:rFonts w:ascii="Calibri" w:hAnsi="Calibri" w:cs="Calibri"/>
            </w:rPr>
            <w:object w:dxaOrig="4844" w:dyaOrig="1500" w14:anchorId="6440FA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65pt;height:17.25pt" fillcolor="window">
                <v:imagedata r:id="rId1" o:title=""/>
              </v:shape>
              <o:OLEObject Type="Embed" ProgID="PBrush" ShapeID="_x0000_i1025" DrawAspect="Content" ObjectID="_1780493206" r:id="rId2"/>
            </w:object>
          </w:r>
        </w:p>
      </w:tc>
      <w:tc>
        <w:tcPr>
          <w:tcW w:w="2492" w:type="dxa"/>
          <w:vAlign w:val="center"/>
        </w:tcPr>
        <w:p w14:paraId="1DA5F7EE" w14:textId="77777777" w:rsidR="00DE2324" w:rsidRDefault="00DE2324" w:rsidP="00DE2324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4"/>
            </w:rPr>
            <w:t>Classificação</w:t>
          </w:r>
          <w:r w:rsidRPr="00C214EA">
            <w:rPr>
              <w:rFonts w:ascii="Calibri" w:hAnsi="Calibri" w:cs="Calibri"/>
              <w:sz w:val="14"/>
              <w:szCs w:val="14"/>
            </w:rPr>
            <w:t>:</w:t>
          </w:r>
          <w:r w:rsidRPr="00C214EA">
            <w:rPr>
              <w:rFonts w:ascii="Calibri" w:hAnsi="Calibri" w:cs="Calibri"/>
              <w:sz w:val="16"/>
              <w:szCs w:val="16"/>
            </w:rPr>
            <w:t xml:space="preserve"> </w:t>
          </w:r>
        </w:p>
        <w:p w14:paraId="03252AB3" w14:textId="77777777" w:rsidR="00DE2324" w:rsidRDefault="00DE2324" w:rsidP="00DE2324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Reservado, até a data da publicação</w:t>
          </w:r>
          <w:r>
            <w:rPr>
              <w:rFonts w:ascii="Calibri" w:hAnsi="Calibri" w:cs="Calibri"/>
              <w:sz w:val="16"/>
              <w:szCs w:val="16"/>
            </w:rPr>
            <w:t>;</w:t>
          </w:r>
        </w:p>
        <w:p w14:paraId="43E3C236" w14:textId="77777777" w:rsidR="00DE2324" w:rsidRPr="00756516" w:rsidRDefault="00DE2324" w:rsidP="00DE2324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Público, após a data da publicação</w:t>
          </w:r>
          <w:r>
            <w:rPr>
              <w:rFonts w:ascii="Calibri" w:hAnsi="Calibri" w:cs="Calibri"/>
              <w:sz w:val="16"/>
              <w:szCs w:val="16"/>
            </w:rPr>
            <w:t>.</w:t>
          </w:r>
        </w:p>
      </w:tc>
    </w:tr>
    <w:tr w:rsidR="00DE2324" w:rsidRPr="008A5E99" w14:paraId="6712A626" w14:textId="77777777" w:rsidTr="00DE2324">
      <w:trPr>
        <w:cantSplit/>
        <w:trHeight w:val="315"/>
      </w:trPr>
      <w:tc>
        <w:tcPr>
          <w:tcW w:w="5667" w:type="dxa"/>
          <w:vMerge/>
          <w:vAlign w:val="center"/>
        </w:tcPr>
        <w:p w14:paraId="3CD88F59" w14:textId="77777777" w:rsidR="00DE2324" w:rsidRDefault="00DE2324" w:rsidP="00DE2324">
          <w:pPr>
            <w:rPr>
              <w:rFonts w:ascii="Calibri" w:hAnsi="Calibri" w:cs="Calibri"/>
              <w:b/>
              <w:sz w:val="26"/>
              <w:szCs w:val="26"/>
            </w:rPr>
          </w:pPr>
        </w:p>
      </w:tc>
      <w:tc>
        <w:tcPr>
          <w:tcW w:w="1276" w:type="dxa"/>
          <w:vAlign w:val="center"/>
        </w:tcPr>
        <w:p w14:paraId="5B001562" w14:textId="77777777" w:rsidR="00DE2324" w:rsidRPr="00756516" w:rsidRDefault="00DE2324" w:rsidP="00DE2324">
          <w:pPr>
            <w:rPr>
              <w:rFonts w:ascii="Calibri" w:hAnsi="Calibri" w:cs="Calibri"/>
              <w:sz w:val="16"/>
              <w:szCs w:val="14"/>
            </w:rPr>
          </w:pPr>
        </w:p>
      </w:tc>
      <w:tc>
        <w:tcPr>
          <w:tcW w:w="2492" w:type="dxa"/>
          <w:vAlign w:val="center"/>
        </w:tcPr>
        <w:p w14:paraId="2D413874" w14:textId="77777777" w:rsidR="00DE2324" w:rsidRPr="00C214EA" w:rsidRDefault="00DE2324" w:rsidP="00DE2324">
          <w:pPr>
            <w:jc w:val="center"/>
            <w:rPr>
              <w:rFonts w:ascii="Calibri" w:hAnsi="Calibri" w:cs="Calibri"/>
              <w:b/>
              <w:position w:val="-14"/>
              <w:sz w:val="18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SUP-</w:t>
          </w:r>
          <w:r>
            <w:rPr>
              <w:rFonts w:ascii="Calibri" w:hAnsi="Calibri" w:cs="Calibri"/>
              <w:b/>
              <w:position w:val="-14"/>
              <w:sz w:val="18"/>
            </w:rPr>
            <w:t>025</w:t>
          </w:r>
        </w:p>
        <w:p w14:paraId="3A1F8A8A" w14:textId="55B525FC" w:rsidR="00DE2324" w:rsidRPr="00C214EA" w:rsidRDefault="00DE2324" w:rsidP="005E189E">
          <w:pPr>
            <w:jc w:val="center"/>
            <w:rPr>
              <w:rFonts w:ascii="Calibri" w:hAnsi="Calibri" w:cs="Calibri"/>
              <w:sz w:val="16"/>
              <w:lang w:val="en-US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Rev.</w:t>
          </w:r>
          <w:r>
            <w:rPr>
              <w:rFonts w:ascii="Calibri" w:hAnsi="Calibri" w:cs="Calibri"/>
              <w:b/>
              <w:position w:val="-14"/>
              <w:sz w:val="18"/>
            </w:rPr>
            <w:t xml:space="preserve"> </w:t>
          </w:r>
          <w:r w:rsidR="00FB6CEA">
            <w:rPr>
              <w:rFonts w:ascii="Calibri" w:hAnsi="Calibri" w:cs="Calibri"/>
              <w:b/>
              <w:position w:val="-14"/>
              <w:sz w:val="18"/>
            </w:rPr>
            <w:t>c</w:t>
          </w:r>
          <w:r w:rsidRPr="00C214EA">
            <w:rPr>
              <w:rFonts w:ascii="Calibri" w:hAnsi="Calibri" w:cs="Calibri"/>
              <w:b/>
              <w:position w:val="-14"/>
              <w:sz w:val="18"/>
            </w:rPr>
            <w:t xml:space="preserve"> – </w:t>
          </w:r>
          <w:r w:rsidR="00FB6CEA">
            <w:rPr>
              <w:rFonts w:ascii="Calibri" w:hAnsi="Calibri" w:cs="Calibri"/>
              <w:b/>
              <w:position w:val="-14"/>
              <w:sz w:val="18"/>
            </w:rPr>
            <w:t>15/07/2022</w:t>
          </w:r>
        </w:p>
      </w:tc>
    </w:tr>
  </w:tbl>
  <w:p w14:paraId="517CEDB9" w14:textId="77777777" w:rsidR="005336DB" w:rsidRPr="005D047C" w:rsidRDefault="005336DB" w:rsidP="005D04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B26F0"/>
    <w:multiLevelType w:val="hybridMultilevel"/>
    <w:tmpl w:val="2E26E06A"/>
    <w:lvl w:ilvl="0" w:tplc="024A1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10ADA"/>
    <w:multiLevelType w:val="hybridMultilevel"/>
    <w:tmpl w:val="4ED4B3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C57F6"/>
    <w:multiLevelType w:val="multilevel"/>
    <w:tmpl w:val="AB7AFA0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bCs w:val="0"/>
        <w:strike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9405019"/>
    <w:multiLevelType w:val="multilevel"/>
    <w:tmpl w:val="06729B34"/>
    <w:lvl w:ilvl="0">
      <w:start w:val="2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num w:numId="1" w16cid:durableId="504706245">
    <w:abstractNumId w:val="0"/>
  </w:num>
  <w:num w:numId="2" w16cid:durableId="2128810628">
    <w:abstractNumId w:val="1"/>
  </w:num>
  <w:num w:numId="3" w16cid:durableId="348869550">
    <w:abstractNumId w:val="2"/>
  </w:num>
  <w:num w:numId="4" w16cid:durableId="1660184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960"/>
    <w:rsid w:val="00021B05"/>
    <w:rsid w:val="00063AD9"/>
    <w:rsid w:val="00070FDF"/>
    <w:rsid w:val="00077E4F"/>
    <w:rsid w:val="00084DB1"/>
    <w:rsid w:val="00095450"/>
    <w:rsid w:val="000A0484"/>
    <w:rsid w:val="000A364B"/>
    <w:rsid w:val="000C3E42"/>
    <w:rsid w:val="000C6EF1"/>
    <w:rsid w:val="000D3318"/>
    <w:rsid w:val="000D3F72"/>
    <w:rsid w:val="000D7474"/>
    <w:rsid w:val="000D76D7"/>
    <w:rsid w:val="001065A2"/>
    <w:rsid w:val="00136328"/>
    <w:rsid w:val="00137AE7"/>
    <w:rsid w:val="00152C14"/>
    <w:rsid w:val="00177B3F"/>
    <w:rsid w:val="00183FB0"/>
    <w:rsid w:val="001A0001"/>
    <w:rsid w:val="001B5D75"/>
    <w:rsid w:val="001C3BFA"/>
    <w:rsid w:val="001D02C5"/>
    <w:rsid w:val="001E45A4"/>
    <w:rsid w:val="00206948"/>
    <w:rsid w:val="00217723"/>
    <w:rsid w:val="00227CC8"/>
    <w:rsid w:val="00236E13"/>
    <w:rsid w:val="00237A98"/>
    <w:rsid w:val="00274A5E"/>
    <w:rsid w:val="002C450E"/>
    <w:rsid w:val="003172CA"/>
    <w:rsid w:val="00324B8F"/>
    <w:rsid w:val="00324DE8"/>
    <w:rsid w:val="003254C9"/>
    <w:rsid w:val="00330C4B"/>
    <w:rsid w:val="003500B5"/>
    <w:rsid w:val="0035232A"/>
    <w:rsid w:val="00364160"/>
    <w:rsid w:val="003764CB"/>
    <w:rsid w:val="00384C18"/>
    <w:rsid w:val="00394D2A"/>
    <w:rsid w:val="003A5552"/>
    <w:rsid w:val="003B2142"/>
    <w:rsid w:val="003B265B"/>
    <w:rsid w:val="003D42CC"/>
    <w:rsid w:val="003E2981"/>
    <w:rsid w:val="004045B6"/>
    <w:rsid w:val="004105A3"/>
    <w:rsid w:val="004129B4"/>
    <w:rsid w:val="00412E4E"/>
    <w:rsid w:val="004210C9"/>
    <w:rsid w:val="00424164"/>
    <w:rsid w:val="00474105"/>
    <w:rsid w:val="00497446"/>
    <w:rsid w:val="004A2E51"/>
    <w:rsid w:val="004B2ECD"/>
    <w:rsid w:val="004B422B"/>
    <w:rsid w:val="0051206F"/>
    <w:rsid w:val="005231E6"/>
    <w:rsid w:val="005336DB"/>
    <w:rsid w:val="00541D7F"/>
    <w:rsid w:val="00563166"/>
    <w:rsid w:val="0058256A"/>
    <w:rsid w:val="005A67B1"/>
    <w:rsid w:val="005D047C"/>
    <w:rsid w:val="005D109E"/>
    <w:rsid w:val="005E189E"/>
    <w:rsid w:val="005F2F9D"/>
    <w:rsid w:val="006228EE"/>
    <w:rsid w:val="006266FE"/>
    <w:rsid w:val="006376E8"/>
    <w:rsid w:val="00653EF6"/>
    <w:rsid w:val="0067297A"/>
    <w:rsid w:val="006744DD"/>
    <w:rsid w:val="0068529B"/>
    <w:rsid w:val="00697198"/>
    <w:rsid w:val="006C4349"/>
    <w:rsid w:val="006D2C6E"/>
    <w:rsid w:val="006D7A35"/>
    <w:rsid w:val="006E663A"/>
    <w:rsid w:val="00707F71"/>
    <w:rsid w:val="0072223A"/>
    <w:rsid w:val="0073628D"/>
    <w:rsid w:val="00744637"/>
    <w:rsid w:val="00745844"/>
    <w:rsid w:val="00754582"/>
    <w:rsid w:val="007727EE"/>
    <w:rsid w:val="007B12DF"/>
    <w:rsid w:val="007C06E7"/>
    <w:rsid w:val="007C10BC"/>
    <w:rsid w:val="007C7FEB"/>
    <w:rsid w:val="008005C1"/>
    <w:rsid w:val="00803348"/>
    <w:rsid w:val="008203BF"/>
    <w:rsid w:val="00836C62"/>
    <w:rsid w:val="00853911"/>
    <w:rsid w:val="008718D9"/>
    <w:rsid w:val="008751BE"/>
    <w:rsid w:val="00884112"/>
    <w:rsid w:val="008975A1"/>
    <w:rsid w:val="008C7222"/>
    <w:rsid w:val="008D4131"/>
    <w:rsid w:val="008E1CCD"/>
    <w:rsid w:val="008F195D"/>
    <w:rsid w:val="009012B1"/>
    <w:rsid w:val="00913649"/>
    <w:rsid w:val="009147FA"/>
    <w:rsid w:val="00917CFC"/>
    <w:rsid w:val="009753FB"/>
    <w:rsid w:val="009A0224"/>
    <w:rsid w:val="009A3B38"/>
    <w:rsid w:val="009C1BBE"/>
    <w:rsid w:val="009F5245"/>
    <w:rsid w:val="009F6F4E"/>
    <w:rsid w:val="00A10145"/>
    <w:rsid w:val="00A26238"/>
    <w:rsid w:val="00A266CD"/>
    <w:rsid w:val="00A36694"/>
    <w:rsid w:val="00A37711"/>
    <w:rsid w:val="00A534D1"/>
    <w:rsid w:val="00A54ADD"/>
    <w:rsid w:val="00A67BAC"/>
    <w:rsid w:val="00A77603"/>
    <w:rsid w:val="00A94CD0"/>
    <w:rsid w:val="00AA012E"/>
    <w:rsid w:val="00AA4E3F"/>
    <w:rsid w:val="00AB3ECA"/>
    <w:rsid w:val="00AC473B"/>
    <w:rsid w:val="00AD7E71"/>
    <w:rsid w:val="00AE6884"/>
    <w:rsid w:val="00B258EB"/>
    <w:rsid w:val="00B26D72"/>
    <w:rsid w:val="00B3034C"/>
    <w:rsid w:val="00B51068"/>
    <w:rsid w:val="00B518F2"/>
    <w:rsid w:val="00B60EF2"/>
    <w:rsid w:val="00B94924"/>
    <w:rsid w:val="00BC4537"/>
    <w:rsid w:val="00BF2F82"/>
    <w:rsid w:val="00C02EE9"/>
    <w:rsid w:val="00C157DE"/>
    <w:rsid w:val="00C20401"/>
    <w:rsid w:val="00C267B8"/>
    <w:rsid w:val="00C51E00"/>
    <w:rsid w:val="00C5668A"/>
    <w:rsid w:val="00C62748"/>
    <w:rsid w:val="00C7069C"/>
    <w:rsid w:val="00C85C61"/>
    <w:rsid w:val="00CC5340"/>
    <w:rsid w:val="00CE6FE7"/>
    <w:rsid w:val="00D00C06"/>
    <w:rsid w:val="00D07F59"/>
    <w:rsid w:val="00D318F3"/>
    <w:rsid w:val="00D404A2"/>
    <w:rsid w:val="00D51382"/>
    <w:rsid w:val="00D60123"/>
    <w:rsid w:val="00D62533"/>
    <w:rsid w:val="00D730EA"/>
    <w:rsid w:val="00D81536"/>
    <w:rsid w:val="00D85B75"/>
    <w:rsid w:val="00DB6960"/>
    <w:rsid w:val="00DE2324"/>
    <w:rsid w:val="00DE37DB"/>
    <w:rsid w:val="00E214F4"/>
    <w:rsid w:val="00E37149"/>
    <w:rsid w:val="00E37B9C"/>
    <w:rsid w:val="00E42ED5"/>
    <w:rsid w:val="00E62F8F"/>
    <w:rsid w:val="00E639F7"/>
    <w:rsid w:val="00E748F8"/>
    <w:rsid w:val="00E95A3C"/>
    <w:rsid w:val="00EC482D"/>
    <w:rsid w:val="00ED6122"/>
    <w:rsid w:val="00EF19B1"/>
    <w:rsid w:val="00F036F7"/>
    <w:rsid w:val="00F0561B"/>
    <w:rsid w:val="00F11ADC"/>
    <w:rsid w:val="00F224C5"/>
    <w:rsid w:val="00F2620F"/>
    <w:rsid w:val="00F37E1E"/>
    <w:rsid w:val="00F47FA9"/>
    <w:rsid w:val="00F53ACA"/>
    <w:rsid w:val="00F55A82"/>
    <w:rsid w:val="00F81A7E"/>
    <w:rsid w:val="00F84AC4"/>
    <w:rsid w:val="00F917BC"/>
    <w:rsid w:val="00FB6CEA"/>
    <w:rsid w:val="00FC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0ACB11"/>
  <w15:docId w15:val="{181500D9-9912-486F-9DA6-AA8B9F7B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911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ind w:left="426" w:right="-1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widowControl w:val="0"/>
      <w:jc w:val="center"/>
      <w:outlineLvl w:val="6"/>
    </w:pPr>
    <w:rPr>
      <w:b/>
      <w:color w:val="FF000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keepNext/>
      <w:ind w:left="426" w:hanging="426"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Recuodecorpodetexto3">
    <w:name w:val="Body Text Indent 3"/>
    <w:basedOn w:val="Normal"/>
    <w:link w:val="Recuodecorpodetexto3Char"/>
    <w:semiHidden/>
    <w:pPr>
      <w:ind w:left="284" w:hanging="284"/>
      <w:jc w:val="both"/>
    </w:pPr>
  </w:style>
  <w:style w:type="paragraph" w:styleId="Corpodetexto3">
    <w:name w:val="Body Text 3"/>
    <w:basedOn w:val="Normal"/>
    <w:semiHidden/>
  </w:style>
  <w:style w:type="paragraph" w:styleId="Corpodetexto2">
    <w:name w:val="Body Text 2"/>
    <w:basedOn w:val="Normal"/>
    <w:link w:val="Corpodetexto2Char"/>
    <w:semiHidden/>
    <w:pPr>
      <w:jc w:val="both"/>
    </w:pPr>
  </w:style>
  <w:style w:type="paragraph" w:styleId="Recuodecorpodetexto2">
    <w:name w:val="Body Text Indent 2"/>
    <w:basedOn w:val="Normal"/>
    <w:semiHidden/>
    <w:pPr>
      <w:ind w:left="567" w:hanging="567"/>
      <w:jc w:val="both"/>
    </w:pPr>
    <w:rPr>
      <w:rFonts w:ascii="Arial Narrow" w:hAnsi="Arial Narrow"/>
      <w:sz w:val="24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semiHidden/>
    <w:rPr>
      <w:rFonts w:ascii="Verdana" w:hAnsi="Verdana" w:hint="default"/>
      <w:color w:val="000000"/>
      <w:sz w:val="15"/>
      <w:szCs w:val="15"/>
      <w:u w:val="single"/>
    </w:rPr>
  </w:style>
  <w:style w:type="paragraph" w:styleId="Recuodecorpodetexto">
    <w:name w:val="Body Text Indent"/>
    <w:basedOn w:val="Normal"/>
    <w:semiHidden/>
    <w:pPr>
      <w:ind w:left="993" w:hanging="567"/>
      <w:jc w:val="both"/>
    </w:pPr>
  </w:style>
  <w:style w:type="paragraph" w:customStyle="1" w:styleId="PARAGRAFONORMAL">
    <w:name w:val="PARAGRAFO NORMAL"/>
    <w:pPr>
      <w:spacing w:line="240" w:lineRule="exact"/>
      <w:jc w:val="both"/>
    </w:pPr>
    <w:rPr>
      <w:rFonts w:ascii="Courier" w:hAnsi="Courier"/>
      <w:sz w:val="24"/>
      <w:lang w:eastAsia="en-US"/>
    </w:rPr>
  </w:style>
  <w:style w:type="paragraph" w:styleId="Corpodetexto">
    <w:name w:val="Body Text"/>
    <w:basedOn w:val="Normal"/>
    <w:semiHidden/>
    <w:rPr>
      <w:rFonts w:cs="Arial"/>
      <w:color w:val="0000FF"/>
      <w:szCs w:val="21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Textodecomentrio">
    <w:name w:val="annotation text"/>
    <w:basedOn w:val="Normal"/>
    <w:link w:val="TextodecomentrioChar"/>
    <w:semiHidden/>
  </w:style>
  <w:style w:type="character" w:styleId="Refdecomentrio">
    <w:name w:val="annotation reference"/>
    <w:semiHidden/>
    <w:rPr>
      <w:sz w:val="16"/>
      <w:szCs w:val="16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semiHidden/>
  </w:style>
  <w:style w:type="character" w:customStyle="1" w:styleId="TextodecomentrioChar">
    <w:name w:val="Texto de comentário Char"/>
    <w:link w:val="Textodecomentrio"/>
    <w:semiHidden/>
    <w:rsid w:val="00F55A82"/>
    <w:rPr>
      <w:rFonts w:ascii="Arial" w:hAnsi="Arial"/>
    </w:rPr>
  </w:style>
  <w:style w:type="character" w:customStyle="1" w:styleId="CabealhoChar">
    <w:name w:val="Cabeçalho Char"/>
    <w:link w:val="Cabealho"/>
    <w:rsid w:val="004B422B"/>
    <w:rPr>
      <w:rFonts w:ascii="Arial" w:hAnsi="Arial"/>
    </w:rPr>
  </w:style>
  <w:style w:type="character" w:customStyle="1" w:styleId="Ttulo3Char">
    <w:name w:val="Título 3 Char"/>
    <w:link w:val="Ttulo3"/>
    <w:rsid w:val="005D047C"/>
    <w:rPr>
      <w:rFonts w:ascii="Arial" w:hAnsi="Arial"/>
      <w:b/>
    </w:rPr>
  </w:style>
  <w:style w:type="character" w:customStyle="1" w:styleId="Recuodecorpodetexto3Char">
    <w:name w:val="Recuo de corpo de texto 3 Char"/>
    <w:link w:val="Recuodecorpodetexto3"/>
    <w:semiHidden/>
    <w:rsid w:val="00D00C06"/>
    <w:rPr>
      <w:rFonts w:ascii="Arial" w:hAnsi="Arial"/>
      <w:sz w:val="22"/>
    </w:rPr>
  </w:style>
  <w:style w:type="character" w:customStyle="1" w:styleId="Corpodetexto2Char">
    <w:name w:val="Corpo de texto 2 Char"/>
    <w:link w:val="Corpodetexto2"/>
    <w:semiHidden/>
    <w:rsid w:val="003500B5"/>
    <w:rPr>
      <w:rFonts w:ascii="Arial" w:hAnsi="Arial"/>
      <w:sz w:val="22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331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D3318"/>
    <w:rPr>
      <w:rFonts w:ascii="Arial" w:hAnsi="Arial"/>
      <w:b/>
      <w:bCs/>
      <w:lang w:val="pt-BR" w:eastAsia="pt-BR"/>
    </w:rPr>
  </w:style>
  <w:style w:type="paragraph" w:styleId="PargrafodaLista">
    <w:name w:val="List Paragraph"/>
    <w:aliases w:val="paragrafo 3"/>
    <w:basedOn w:val="Normal"/>
    <w:link w:val="PargrafodaListaChar"/>
    <w:uiPriority w:val="34"/>
    <w:qFormat/>
    <w:rsid w:val="0072223A"/>
    <w:pPr>
      <w:ind w:left="720"/>
      <w:contextualSpacing/>
    </w:pPr>
  </w:style>
  <w:style w:type="character" w:customStyle="1" w:styleId="PargrafodaListaChar">
    <w:name w:val="Parágrafo da Lista Char"/>
    <w:aliases w:val="paragrafo 3 Char"/>
    <w:link w:val="PargrafodaLista"/>
    <w:uiPriority w:val="34"/>
    <w:locked/>
    <w:rsid w:val="008975A1"/>
    <w:rPr>
      <w:rFonts w:ascii="Arial" w:hAnsi="Arial"/>
      <w:sz w:val="22"/>
    </w:rPr>
  </w:style>
  <w:style w:type="paragraph" w:styleId="Reviso">
    <w:name w:val="Revision"/>
    <w:hidden/>
    <w:uiPriority w:val="99"/>
    <w:semiHidden/>
    <w:rsid w:val="00AB3EC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28EDCD4489C84EA8261EB2CA6B69BD" ma:contentTypeVersion="22" ma:contentTypeDescription="Crie um novo documento." ma:contentTypeScope="" ma:versionID="1bd3bd6bf1dd25b263fd9b3861eeaea3">
  <xsd:schema xmlns:xsd="http://www.w3.org/2001/XMLSchema" xmlns:xs="http://www.w3.org/2001/XMLSchema" xmlns:p="http://schemas.microsoft.com/office/2006/metadata/properties" xmlns:ns1="http://schemas.microsoft.com/sharepoint/v3" xmlns:ns2="34ffbd57-9f42-4482-983c-f7b67da8d403" xmlns:ns3="9b46ddd4-b276-4c9a-a34b-4a3c2c6f9828" targetNamespace="http://schemas.microsoft.com/office/2006/metadata/properties" ma:root="true" ma:fieldsID="24587ffc0708dec282be93d33bd15603" ns1:_="" ns2:_="" ns3:_="">
    <xsd:import namespace="http://schemas.microsoft.com/sharepoint/v3"/>
    <xsd:import namespace="34ffbd57-9f42-4482-983c-f7b67da8d403"/>
    <xsd:import namespace="9b46ddd4-b276-4c9a-a34b-4a3c2c6f9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odifica_x00e7__x00e3_o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bd57-9f42-4482-983c-f7b67da8d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odifica_x00e7__x00e3_o" ma:index="12" nillable="true" ma:displayName="Modificação" ma:format="DateOnly" ma:internalName="Modifica_x00e7__x00e3_o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Marcações de imagem" ma:readOnly="false" ma:fieldId="{5cf76f15-5ced-4ddc-b409-7134ff3c332f}" ma:taxonomyMulti="true" ma:sspId="8ba655b3-91bc-415c-bde2-f58ae48cb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6ddd4-b276-4c9a-a34b-4a3c2c6f9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64d5800-1413-4606-90e2-27b09f1ddfaf}" ma:internalName="TaxCatchAll" ma:showField="CatchAllData" ma:web="9b46ddd4-b276-4c9a-a34b-4a3c2c6f98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Modifica_x00e7__x00e3_o xmlns="34ffbd57-9f42-4482-983c-f7b67da8d403" xsi:nil="true"/>
    <_Flow_SignoffStatus xmlns="34ffbd57-9f42-4482-983c-f7b67da8d403" xsi:nil="true"/>
    <TaxCatchAll xmlns="9b46ddd4-b276-4c9a-a34b-4a3c2c6f9828" xsi:nil="true"/>
    <lcf76f155ced4ddcb4097134ff3c332f xmlns="34ffbd57-9f42-4482-983c-f7b67da8d403">
      <Terms xmlns="http://schemas.microsoft.com/office/infopath/2007/PartnerControls"/>
    </lcf76f155ced4ddcb4097134ff3c332f>
    <SharedWithUsers xmlns="9b46ddd4-b276-4c9a-a34b-4a3c2c6f9828">
      <UserInfo>
        <DisplayName>CARLOS GUSTAVO  DE CARVALHO PICININ</DisplayName>
        <AccountId>25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05E74-98F8-4CFD-8490-1DD2BD91F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ffbd57-9f42-4482-983c-f7b67da8d403"/>
    <ds:schemaRef ds:uri="9b46ddd4-b276-4c9a-a34b-4a3c2c6f9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5C5661-4337-4B03-8697-AF567217D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4B0C54-867A-44D2-8420-B53D85132F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4ffbd57-9f42-4482-983c-f7b67da8d403"/>
    <ds:schemaRef ds:uri="9b46ddd4-b276-4c9a-a34b-4a3c2c6f9828"/>
  </ds:schemaRefs>
</ds:datastoreItem>
</file>

<file path=customXml/itemProps4.xml><?xml version="1.0" encoding="utf-8"?>
<ds:datastoreItem xmlns:ds="http://schemas.openxmlformats.org/officeDocument/2006/customXml" ds:itemID="{3A0441FC-76A5-47E0-97C0-A56233BD0E4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158201a-9c91-4077-8c8c-35afb0b2b6e2}" enabled="1" method="Privileged" siteId="{97ce2340-9c1d-45b1-a835-7ea811b6fe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673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	</vt:lpstr>
    </vt:vector>
  </TitlesOfParts>
  <Company>CEMIG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Divisão de Editoria e Reprografia - AD/DE1</dc:creator>
  <cp:keywords/>
  <cp:lastModifiedBy>CLEUSA FERREIRA DA SILVA</cp:lastModifiedBy>
  <cp:revision>108</cp:revision>
  <cp:lastPrinted>2024-06-12T20:22:00Z</cp:lastPrinted>
  <dcterms:created xsi:type="dcterms:W3CDTF">2020-12-21T18:25:00Z</dcterms:created>
  <dcterms:modified xsi:type="dcterms:W3CDTF">2024-06-21T19:40:00Z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Classificação: Público</vt:lpwstr>
  </property>
  <property fmtid="{D5CDD505-2E9C-101B-9397-08002B2CF9AE}" pid="5" name="ContentTypeId">
    <vt:lpwstr>0x0101004D28EDCD4489C84EA8261EB2CA6B69BD</vt:lpwstr>
  </property>
  <property fmtid="{D5CDD505-2E9C-101B-9397-08002B2CF9AE}" pid="6" name="MediaServiceImageTags">
    <vt:lpwstr/>
  </property>
</Properties>
</file>